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Pr="00765DA5">
        <w:rPr>
          <w:b/>
          <w:bCs/>
          <w:sz w:val="22"/>
          <w:szCs w:val="22"/>
        </w:rPr>
        <w:t>do uchwały Nr</w:t>
      </w:r>
      <w:r w:rsidR="00CF4235">
        <w:rPr>
          <w:b/>
          <w:bCs/>
          <w:sz w:val="22"/>
          <w:szCs w:val="22"/>
        </w:rPr>
        <w:t xml:space="preserve"> 527/143/12</w:t>
      </w:r>
      <w:r w:rsidR="004206FC">
        <w:rPr>
          <w:b/>
          <w:bCs/>
          <w:sz w:val="22"/>
          <w:szCs w:val="22"/>
        </w:rPr>
        <w:t xml:space="preserve">                    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Zarz</w:t>
      </w:r>
      <w:r w:rsidRPr="00765DA5">
        <w:rPr>
          <w:b/>
          <w:sz w:val="22"/>
          <w:szCs w:val="22"/>
        </w:rPr>
        <w:t>ą</w:t>
      </w:r>
      <w:r w:rsidRPr="00765DA5">
        <w:rPr>
          <w:b/>
          <w:bCs/>
          <w:sz w:val="22"/>
          <w:szCs w:val="22"/>
        </w:rPr>
        <w:t>du Województwa Mazowieckiego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 dnia</w:t>
      </w:r>
      <w:r w:rsidR="004206FC">
        <w:rPr>
          <w:b/>
          <w:bCs/>
          <w:sz w:val="22"/>
          <w:szCs w:val="22"/>
        </w:rPr>
        <w:t xml:space="preserve"> </w:t>
      </w:r>
      <w:r w:rsidR="00CF4235">
        <w:rPr>
          <w:b/>
          <w:bCs/>
          <w:sz w:val="22"/>
          <w:szCs w:val="22"/>
        </w:rPr>
        <w:t>15 marca</w:t>
      </w:r>
      <w:r w:rsidRPr="00765D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8F2A7A">
        <w:rPr>
          <w:b/>
          <w:bCs/>
          <w:sz w:val="22"/>
          <w:szCs w:val="22"/>
        </w:rPr>
        <w:t>2</w:t>
      </w:r>
      <w:r w:rsidRPr="00765DA5">
        <w:rPr>
          <w:b/>
          <w:bCs/>
          <w:sz w:val="22"/>
          <w:szCs w:val="22"/>
        </w:rPr>
        <w:t xml:space="preserve">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  <w:bookmarkEnd w:id="0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2009 r. Nr 84, poz. 712,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z 2009 r.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>, z 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SR.II./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>/1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z dnia </w:t>
      </w:r>
      <w:r w:rsidR="00673B03">
        <w:rPr>
          <w:sz w:val="22"/>
          <w:szCs w:val="22"/>
        </w:rPr>
        <w:t>16</w:t>
      </w:r>
      <w:r w:rsidR="002D7E53">
        <w:rPr>
          <w:sz w:val="22"/>
          <w:szCs w:val="22"/>
        </w:rPr>
        <w:t xml:space="preserve"> </w:t>
      </w:r>
      <w:r w:rsidR="00673B03">
        <w:rPr>
          <w:sz w:val="22"/>
          <w:szCs w:val="22"/>
        </w:rPr>
        <w:t>sierp</w:t>
      </w:r>
      <w:r w:rsidR="002D7E53">
        <w:rPr>
          <w:sz w:val="22"/>
          <w:szCs w:val="22"/>
        </w:rPr>
        <w:t>nia</w:t>
      </w:r>
      <w:r w:rsidR="002D7E53" w:rsidRPr="008655CC">
        <w:rPr>
          <w:sz w:val="22"/>
          <w:szCs w:val="22"/>
        </w:rPr>
        <w:t xml:space="preserve"> 201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na 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projek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muszą zostać spełnione jednocześnie.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>, stanowiący załącznik nr 3 do Umowy</w:t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załącznik </w:t>
      </w:r>
      <w:r w:rsidR="00125BA0">
        <w:rPr>
          <w:sz w:val="22"/>
          <w:szCs w:val="22"/>
        </w:rPr>
        <w:t xml:space="preserve">nr 2 </w:t>
      </w:r>
      <w:r>
        <w:rPr>
          <w:sz w:val="22"/>
          <w:szCs w:val="22"/>
        </w:rPr>
        <w:t>do Umowy;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</w:t>
      </w:r>
      <w:r>
        <w:rPr>
          <w:sz w:val="22"/>
          <w:szCs w:val="22"/>
        </w:rPr>
        <w:lastRenderedPageBreak/>
        <w:t>2006 r. w sprawie Europejskiego Funduszu Rozwoju Regionalnego i uchylające rozporządzenie (WE) nr 1783/1999 (Dz. Urz. UE L 210 z 31.07.2006, s. 1,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przeciwdziałać.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lastRenderedPageBreak/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jakie muszą zostać podjęte przez Beneficjenta w celu wykazania, </w:t>
      </w:r>
      <w:r w:rsidR="00125BA0">
        <w:rPr>
          <w:sz w:val="22"/>
          <w:szCs w:val="22"/>
        </w:rPr>
        <w:t xml:space="preserve">że </w:t>
      </w:r>
      <w:r>
        <w:rPr>
          <w:sz w:val="22"/>
          <w:szCs w:val="22"/>
        </w:rPr>
        <w:t>wydatki przez niego ponoszone są konkurencyjne i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efektywne.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Współfinansowanie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3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publiczną, o których mowa w ust. 2,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realizowania Projektu przez Beneficjenta działającego w formie Partnerstwa, umowa partnerska określa odpowiedzialność Beneficjenta oraz Partnerów wobec osób trzecich za ewentualne szkody i zaniechania powstałe w związku z realizacją Projektu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5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określanej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 zm)</w:t>
      </w:r>
      <w:r>
        <w:rPr>
          <w:rStyle w:val="Odwoanieprzypisudolnego"/>
          <w:sz w:val="22"/>
          <w:szCs w:val="22"/>
        </w:rPr>
        <w:footnoteReference w:id="16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>rojekt, w którym nie wystąpi Współfinansowanie i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odpowiednie zaświadczenie z banku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7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lastRenderedPageBreak/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18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realizacji Projektu, określonego </w:t>
      </w:r>
      <w:r>
        <w:rPr>
          <w:sz w:val="22"/>
          <w:szCs w:val="22"/>
        </w:rPr>
        <w:br/>
        <w:t>w ust. 1</w:t>
      </w:r>
      <w:r w:rsidR="00902B1C">
        <w:rPr>
          <w:sz w:val="22"/>
          <w:szCs w:val="22"/>
        </w:rPr>
        <w:t xml:space="preserve"> pkt 3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lastRenderedPageBreak/>
        <w:t xml:space="preserve">Prawo zamówień publicznych (Dz. U. </w:t>
      </w:r>
      <w:r w:rsidR="00910D65">
        <w:rPr>
          <w:sz w:val="22"/>
          <w:szCs w:val="22"/>
        </w:rPr>
        <w:t>z 2010 r.</w:t>
      </w:r>
      <w:r w:rsidR="000E5BD5">
        <w:rPr>
          <w:sz w:val="22"/>
          <w:szCs w:val="22"/>
        </w:rPr>
        <w:t xml:space="preserve"> Nr 113</w:t>
      </w:r>
      <w:r w:rsidR="00910D65">
        <w:rPr>
          <w:sz w:val="22"/>
          <w:szCs w:val="22"/>
        </w:rPr>
        <w:t>, poz. 759</w:t>
      </w:r>
      <w:r>
        <w:rPr>
          <w:sz w:val="22"/>
          <w:szCs w:val="22"/>
        </w:rPr>
        <w:t>,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 oraz z zasadami uczciwej konkurencji.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4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5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posiadanie przez Beneficjenta oraz podmioty realizujące Projekt w jego imieniu i Partnerów Wyodrębnionego/ych dla Projektu rachunku/ów bankowego/ych i przedstawienie do MJWPU </w:t>
      </w:r>
      <w:r w:rsidRPr="001C40DD">
        <w:rPr>
          <w:sz w:val="22"/>
          <w:szCs w:val="22"/>
        </w:rPr>
        <w:lastRenderedPageBreak/>
        <w:t>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beneficjenta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 xml:space="preserve">w tym artykule mając na uwadze art. 67, w związku z art. 60 pkt 6 ustawy o finansach </w:t>
      </w:r>
      <w:r w:rsidRPr="004B73F0">
        <w:rPr>
          <w:sz w:val="22"/>
          <w:szCs w:val="22"/>
        </w:rPr>
        <w:lastRenderedPageBreak/>
        <w:t>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6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zgodnie z 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- do 15 dni roboczych od daty jego otrzymania,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</w:t>
      </w:r>
      <w:r w:rsidRPr="004B73F0">
        <w:rPr>
          <w:sz w:val="22"/>
          <w:szCs w:val="22"/>
        </w:rPr>
        <w:lastRenderedPageBreak/>
        <w:t xml:space="preserve">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data i kwota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 xml:space="preserve">klasyfikacja budżetowa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przez MJWPU wizyty monitorującej lub kontroli na miejscu realizacji Projektu, lub kontroli na dokumentach prawidłowości realizacji zamówień publicznych, o ile Projekt zostanie wytypowany do takiej wizyty/kontroli </w:t>
      </w:r>
      <w:r w:rsidR="00645BAF">
        <w:rPr>
          <w:sz w:val="22"/>
          <w:szCs w:val="22"/>
        </w:rPr>
        <w:t xml:space="preserve">zgodnie z </w:t>
      </w:r>
      <w:r>
        <w:rPr>
          <w:sz w:val="22"/>
          <w:szCs w:val="22"/>
        </w:rPr>
        <w:t>metodologi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zatwierdzon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przez IZ;</w:t>
      </w:r>
    </w:p>
    <w:p w:rsidR="00B2525F" w:rsidRPr="00737289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737289">
        <w:rPr>
          <w:sz w:val="22"/>
          <w:szCs w:val="22"/>
        </w:rPr>
        <w:t>przeprowadzeniu kontroli doraźnej Projektu – o ile zaistnieją przesłanki jej przeprowadzenia;</w:t>
      </w:r>
    </w:p>
    <w:p w:rsidR="005F1AD1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kontroli </w:t>
      </w:r>
      <w:r w:rsidR="005F1AD1">
        <w:rPr>
          <w:sz w:val="22"/>
          <w:szCs w:val="22"/>
        </w:rPr>
        <w:t xml:space="preserve">na zakończenie realizacji Projektu </w:t>
      </w:r>
      <w:r>
        <w:rPr>
          <w:sz w:val="22"/>
          <w:szCs w:val="22"/>
        </w:rPr>
        <w:t>na wszystkich dokumentach złożonych przez Beneficjenta w ramach realizowanego Projektu</w:t>
      </w:r>
      <w:r w:rsidR="005F1AD1">
        <w:rPr>
          <w:sz w:val="22"/>
          <w:szCs w:val="22"/>
        </w:rPr>
        <w:t>;</w:t>
      </w:r>
    </w:p>
    <w:p w:rsidR="00F4293F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lastRenderedPageBreak/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28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 z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wykorzystaniem dostępnych środków prawnych, w szczególności zabezpieczenia, o którym mowa w § 12 Umowy.</w:t>
      </w:r>
    </w:p>
    <w:p w:rsidR="00B2525F" w:rsidRDefault="00B2525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29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0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załącznik nr 5 do Umowy.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sposób racjonalny, gospodarny i celowy, w oparciu o najbardziej korzystną ekonomicznie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jakościowo ofertę, z zachowaniem zasady konkurencyjności i przejrzystości oraz dołożyć wszelkich starań w celu uniknięcia konfliktu interesów rozumianego jako brak bezstronności i obiektywności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wypełnianiu funkcji jakiegokolwiek podmiotu objętego umową, w związku z realizowanym zamówieniem, a sposób wyboru oferty, w tym rozeznania rynku, trwale udokumentować.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1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</w:t>
      </w:r>
      <w:r>
        <w:rPr>
          <w:sz w:val="22"/>
          <w:szCs w:val="22"/>
        </w:rPr>
        <w:lastRenderedPageBreak/>
        <w:t xml:space="preserve">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3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lastRenderedPageBreak/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monitorujących realizację Projektu.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 xml:space="preserve">eneficjent jest zobowiązany do aktualizacji wartości wskaźników osiąganych w wyniku realizacji Projektu, zgodnie ze wskaźnikami monitoringowymi przypisanymi dla danego działania w jakim był </w:t>
      </w:r>
      <w:r w:rsidR="0055423B">
        <w:rPr>
          <w:sz w:val="22"/>
          <w:szCs w:val="22"/>
        </w:rPr>
        <w:t>P</w:t>
      </w:r>
      <w:r w:rsidR="000A029E" w:rsidRPr="00EA5612">
        <w:rPr>
          <w:sz w:val="22"/>
          <w:szCs w:val="22"/>
        </w:rPr>
        <w:t>rojekt realizowany niezależnie od wskaźników określonych we</w:t>
      </w:r>
      <w:r w:rsidR="00536C55">
        <w:rPr>
          <w:sz w:val="22"/>
          <w:szCs w:val="22"/>
        </w:rPr>
        <w:t> </w:t>
      </w:r>
      <w:r w:rsidR="0055423B" w:rsidRPr="0055423B">
        <w:rPr>
          <w:i/>
          <w:sz w:val="22"/>
          <w:szCs w:val="22"/>
        </w:rPr>
        <w:t>W</w:t>
      </w:r>
      <w:r w:rsidR="000A029E" w:rsidRPr="0055423B">
        <w:rPr>
          <w:i/>
          <w:sz w:val="22"/>
          <w:szCs w:val="22"/>
        </w:rPr>
        <w:t>niosku o dofinansowanie</w:t>
      </w:r>
      <w:r w:rsidR="0055423B" w:rsidRPr="0055423B">
        <w:rPr>
          <w:i/>
          <w:sz w:val="22"/>
          <w:szCs w:val="22"/>
        </w:rPr>
        <w:t xml:space="preserve"> Projektu</w:t>
      </w:r>
      <w:r w:rsidR="000A029E" w:rsidRPr="00EA5612">
        <w:rPr>
          <w:sz w:val="22"/>
          <w:szCs w:val="22"/>
        </w:rPr>
        <w:t>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</w:t>
      </w:r>
      <w:r>
        <w:rPr>
          <w:sz w:val="22"/>
          <w:szCs w:val="22"/>
        </w:rPr>
        <w:lastRenderedPageBreak/>
        <w:t xml:space="preserve">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której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zmiany 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>
        <w:rPr>
          <w:sz w:val="22"/>
          <w:szCs w:val="22"/>
        </w:rPr>
        <w:t>ws</w:t>
      </w:r>
      <w:r w:rsidR="00FD40E9">
        <w:rPr>
          <w:sz w:val="22"/>
          <w:szCs w:val="22"/>
        </w:rPr>
        <w:t xml:space="preserve">kaźników </w:t>
      </w:r>
      <w:r w:rsidR="00806C91">
        <w:rPr>
          <w:sz w:val="22"/>
          <w:szCs w:val="22"/>
        </w:rPr>
        <w:t xml:space="preserve">produktu </w:t>
      </w:r>
      <w:r>
        <w:rPr>
          <w:sz w:val="22"/>
          <w:szCs w:val="22"/>
        </w:rPr>
        <w:t xml:space="preserve">nie przekraczają poziomu 15% </w:t>
      </w:r>
      <w:r w:rsidR="00806C91">
        <w:rPr>
          <w:sz w:val="22"/>
          <w:szCs w:val="22"/>
        </w:rPr>
        <w:t xml:space="preserve">ich pierwotnej </w:t>
      </w:r>
      <w:r>
        <w:rPr>
          <w:sz w:val="22"/>
          <w:szCs w:val="22"/>
        </w:rPr>
        <w:t>wartości lub przesunięcia pomiędzy kategoriami wydatków</w:t>
      </w:r>
      <w:r w:rsidR="00BC1430">
        <w:rPr>
          <w:sz w:val="22"/>
          <w:szCs w:val="22"/>
        </w:rPr>
        <w:t>,</w:t>
      </w:r>
      <w:r w:rsidR="00226826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34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35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201B3D">
        <w:rPr>
          <w:sz w:val="22"/>
          <w:szCs w:val="22"/>
        </w:rPr>
        <w:t>.</w:t>
      </w:r>
    </w:p>
    <w:p w:rsidR="003C434E" w:rsidRDefault="00C76D2D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="003959A0">
        <w:rPr>
          <w:sz w:val="22"/>
          <w:szCs w:val="22"/>
        </w:rPr>
        <w:t xml:space="preserve"> zakładanych w P</w:t>
      </w:r>
      <w:r w:rsidR="003D5E87">
        <w:rPr>
          <w:sz w:val="22"/>
          <w:szCs w:val="22"/>
        </w:rPr>
        <w:t>rojekcie wskaźników re</w:t>
      </w:r>
      <w:r w:rsidR="00F4293F">
        <w:rPr>
          <w:sz w:val="22"/>
          <w:szCs w:val="22"/>
        </w:rPr>
        <w:t xml:space="preserve">zultatu, a także zmiany ilościowe, </w:t>
      </w:r>
      <w:r w:rsidR="00E02587">
        <w:rPr>
          <w:sz w:val="22"/>
          <w:szCs w:val="22"/>
        </w:rPr>
        <w:t xml:space="preserve">wynikające </w:t>
      </w:r>
      <w:r w:rsidR="00F4293F">
        <w:rPr>
          <w:sz w:val="22"/>
          <w:szCs w:val="22"/>
        </w:rPr>
        <w:t>z</w:t>
      </w:r>
      <w:r w:rsidR="00536C55">
        <w:rPr>
          <w:sz w:val="22"/>
          <w:szCs w:val="22"/>
        </w:rPr>
        <w:t> </w:t>
      </w:r>
      <w:r w:rsidR="00F4293F">
        <w:rPr>
          <w:sz w:val="22"/>
          <w:szCs w:val="22"/>
        </w:rPr>
        <w:t>przyczyn innych niż określone w ust. 6 i 7 wymagają niezwłocznego pisemnego poinformowania MJWPU o każdej planowanej zmianie</w:t>
      </w:r>
      <w:r w:rsidR="00341FA4">
        <w:rPr>
          <w:sz w:val="22"/>
          <w:szCs w:val="22"/>
        </w:rPr>
        <w:t xml:space="preserve"> i </w:t>
      </w:r>
      <w:r w:rsidR="00F4293F">
        <w:rPr>
          <w:sz w:val="22"/>
          <w:szCs w:val="22"/>
        </w:rPr>
        <w:t xml:space="preserve">aktualizacji </w:t>
      </w:r>
      <w:r w:rsidR="00F4293F">
        <w:rPr>
          <w:i/>
          <w:sz w:val="22"/>
          <w:szCs w:val="22"/>
        </w:rPr>
        <w:t>Wniosku o dofinansowanie Projektu</w:t>
      </w:r>
      <w:r w:rsidR="00797121">
        <w:rPr>
          <w:sz w:val="22"/>
          <w:szCs w:val="22"/>
        </w:rPr>
        <w:t>.</w:t>
      </w:r>
      <w:r w:rsidR="00341FA4" w:rsidRPr="00341FA4">
        <w:rPr>
          <w:sz w:val="22"/>
          <w:szCs w:val="22"/>
        </w:rPr>
        <w:t xml:space="preserve"> </w:t>
      </w:r>
      <w:r w:rsidR="00341FA4">
        <w:rPr>
          <w:sz w:val="22"/>
          <w:szCs w:val="22"/>
        </w:rPr>
        <w:t>Przedmiotowe zmiany mogą zostać wprowadzone wyłącznie po uzyskaniu akceptacji MJWPU, z</w:t>
      </w:r>
      <w:r w:rsidR="00536C55">
        <w:rPr>
          <w:sz w:val="22"/>
          <w:szCs w:val="22"/>
        </w:rPr>
        <w:t> </w:t>
      </w:r>
      <w:r w:rsidR="00341FA4">
        <w:rPr>
          <w:sz w:val="22"/>
          <w:szCs w:val="22"/>
        </w:rPr>
        <w:t>zachowaniem formy pisemnej</w:t>
      </w:r>
      <w:r w:rsidR="00955535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Zmiany, o których mowa w ust. 9, 10 i 11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</w:t>
      </w:r>
      <w:r>
        <w:rPr>
          <w:sz w:val="22"/>
          <w:szCs w:val="22"/>
        </w:rPr>
        <w:lastRenderedPageBreak/>
        <w:t>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przestrzegał procedur udzielania zamówień publicznych oraz przejrzystości, jawności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uczciwej konkurencji 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9-12.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rozwiązana na wniosek Beneficjenta, jeżeli zwróci on otrzymane Dofinansowanie, wraz z odsetkami w wysokości jak dla zaległości podatkowych naliczanymi od dnia </w:t>
      </w:r>
      <w:r>
        <w:rPr>
          <w:sz w:val="22"/>
          <w:szCs w:val="22"/>
        </w:rPr>
        <w:lastRenderedPageBreak/>
        <w:t>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36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7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terminie…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lastRenderedPageBreak/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>(Dz. U. Nr 16, poz. 93, z późn.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po jednej dla każdej ze Stron oraz jednym dla Instytucji Zarządzającej.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wydatków.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rzeczowo-finansowy.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realizacji zamówień publicznych w ramach Projektu</w:t>
      </w:r>
      <w:r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.</w:t>
      </w:r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39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0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1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2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9"/>
      <w:footerReference w:type="default" r:id="rId10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8D" w:rsidRDefault="00E0308D">
      <w:r>
        <w:separator/>
      </w:r>
    </w:p>
  </w:endnote>
  <w:endnote w:type="continuationSeparator" w:id="0">
    <w:p w:rsidR="00E0308D" w:rsidRDefault="00E0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EC" w:rsidRDefault="00644C4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FE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2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3FEC" w:rsidRDefault="00FB3FE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8D" w:rsidRDefault="00E0308D">
      <w:r>
        <w:separator/>
      </w:r>
    </w:p>
  </w:footnote>
  <w:footnote w:type="continuationSeparator" w:id="0">
    <w:p w:rsidR="00E0308D" w:rsidRDefault="00E0308D">
      <w:r>
        <w:continuationSeparator/>
      </w:r>
    </w:p>
  </w:footnote>
  <w:footnote w:id="1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FB3FEC" w:rsidRDefault="00FB3FEC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FB3FEC" w:rsidRPr="00E51A2E" w:rsidRDefault="00FB3FEC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FB3FEC" w:rsidRPr="00E51A2E" w:rsidRDefault="00FB3FEC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FB3FEC" w:rsidRDefault="00FB3FEC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1">
    <w:p w:rsidR="00FB3FEC" w:rsidRDefault="00FB3FEC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2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FB3FEC" w:rsidRDefault="00FB3FEC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6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7">
    <w:p w:rsidR="00FB3FEC" w:rsidRDefault="00FB3FEC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18">
    <w:p w:rsidR="00FB3FEC" w:rsidRDefault="00FB3FEC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19">
    <w:p w:rsidR="00FB3FEC" w:rsidRDefault="00FB3F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0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1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2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3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4">
    <w:p w:rsidR="00FB3FEC" w:rsidRPr="00192C38" w:rsidRDefault="00FB3FEC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5">
    <w:p w:rsidR="00FB3FEC" w:rsidRDefault="00FB3F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3E">
        <w:rPr>
          <w:sz w:val="16"/>
          <w:szCs w:val="16"/>
        </w:rPr>
        <w:t>Jeśli dotyczy.</w:t>
      </w:r>
    </w:p>
  </w:footnote>
  <w:footnote w:id="26">
    <w:p w:rsidR="00FB3FEC" w:rsidRDefault="00FB3FEC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27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28">
    <w:p w:rsidR="00FB3FEC" w:rsidRDefault="00FB3FEC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29">
    <w:p w:rsidR="00FB3FEC" w:rsidRDefault="00FB3FEC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0">
    <w:p w:rsidR="00FB3FEC" w:rsidRDefault="00FB3FEC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FB3FEC" w:rsidRDefault="00FB3FEC">
      <w:pPr>
        <w:pStyle w:val="Tekstprzypisudolnego"/>
        <w:jc w:val="both"/>
      </w:pPr>
    </w:p>
  </w:footnote>
  <w:footnote w:id="31">
    <w:p w:rsidR="00FB3FEC" w:rsidRDefault="00FB3FEC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2">
    <w:p w:rsidR="00FB3FEC" w:rsidRDefault="00FB3FEC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3">
    <w:p w:rsidR="00FB3FEC" w:rsidRDefault="00FB3FEC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4">
    <w:p w:rsidR="00FB3FEC" w:rsidRPr="00106650" w:rsidRDefault="00FB3FEC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13</w:t>
      </w:r>
      <w:r>
        <w:rPr>
          <w:sz w:val="16"/>
          <w:szCs w:val="16"/>
        </w:rPr>
        <w:t>.</w:t>
      </w:r>
    </w:p>
  </w:footnote>
  <w:footnote w:id="35">
    <w:p w:rsidR="00FB3FEC" w:rsidRPr="00106650" w:rsidRDefault="00FB3FEC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13.</w:t>
      </w:r>
    </w:p>
  </w:footnote>
  <w:footnote w:id="36">
    <w:p w:rsidR="00FB3FEC" w:rsidRDefault="00FB3FEC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37"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FB3FEC" w:rsidRPr="002335F4" w:rsidRDefault="00FB3FEC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FB3FEC" w:rsidRPr="002335F4" w:rsidRDefault="00FB3FEC" w:rsidP="002335F4">
      <w:pPr>
        <w:pStyle w:val="Tekstprzypisudolnego"/>
        <w:jc w:val="both"/>
        <w:rPr>
          <w:sz w:val="16"/>
          <w:szCs w:val="16"/>
        </w:rPr>
      </w:pPr>
    </w:p>
  </w:footnote>
  <w:footnote w:id="38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39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0">
    <w:p w:rsidR="00FB3FEC" w:rsidRPr="00605222" w:rsidRDefault="00FB3FEC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1">
    <w:p w:rsidR="00FB3FEC" w:rsidRDefault="00FB3FEC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2">
    <w:p w:rsidR="00FB3FEC" w:rsidRDefault="00FB3FEC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EC" w:rsidRDefault="00FB3FEC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FB3FEC" w:rsidRDefault="00FB3F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87C"/>
    <w:rsid w:val="000112A7"/>
    <w:rsid w:val="00011444"/>
    <w:rsid w:val="00021642"/>
    <w:rsid w:val="0002620B"/>
    <w:rsid w:val="000360C1"/>
    <w:rsid w:val="000366AA"/>
    <w:rsid w:val="000375AC"/>
    <w:rsid w:val="0003774F"/>
    <w:rsid w:val="00051ED4"/>
    <w:rsid w:val="000524D1"/>
    <w:rsid w:val="000532AE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501D"/>
    <w:rsid w:val="000D59B3"/>
    <w:rsid w:val="000D61CF"/>
    <w:rsid w:val="000D63C1"/>
    <w:rsid w:val="000E0404"/>
    <w:rsid w:val="000E5BD5"/>
    <w:rsid w:val="000F465A"/>
    <w:rsid w:val="00100BC1"/>
    <w:rsid w:val="00100FF9"/>
    <w:rsid w:val="00101D18"/>
    <w:rsid w:val="00106650"/>
    <w:rsid w:val="001137EB"/>
    <w:rsid w:val="00115CA4"/>
    <w:rsid w:val="00120386"/>
    <w:rsid w:val="00123965"/>
    <w:rsid w:val="00125BA0"/>
    <w:rsid w:val="00126589"/>
    <w:rsid w:val="00132A31"/>
    <w:rsid w:val="00133895"/>
    <w:rsid w:val="00147852"/>
    <w:rsid w:val="00150589"/>
    <w:rsid w:val="0015707C"/>
    <w:rsid w:val="001611F2"/>
    <w:rsid w:val="0016139C"/>
    <w:rsid w:val="001632CC"/>
    <w:rsid w:val="0016405A"/>
    <w:rsid w:val="00165385"/>
    <w:rsid w:val="00173763"/>
    <w:rsid w:val="0017702E"/>
    <w:rsid w:val="00177F55"/>
    <w:rsid w:val="00181B19"/>
    <w:rsid w:val="00192C38"/>
    <w:rsid w:val="001A21D1"/>
    <w:rsid w:val="001A5750"/>
    <w:rsid w:val="001A6AC2"/>
    <w:rsid w:val="001A6D93"/>
    <w:rsid w:val="001B1C60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F3489"/>
    <w:rsid w:val="001F670B"/>
    <w:rsid w:val="00201B3D"/>
    <w:rsid w:val="00201CD1"/>
    <w:rsid w:val="00202D20"/>
    <w:rsid w:val="0020333E"/>
    <w:rsid w:val="00203B82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39E8"/>
    <w:rsid w:val="0024748B"/>
    <w:rsid w:val="002515D9"/>
    <w:rsid w:val="00251BF2"/>
    <w:rsid w:val="0025326A"/>
    <w:rsid w:val="0025727C"/>
    <w:rsid w:val="0026020A"/>
    <w:rsid w:val="00261EAF"/>
    <w:rsid w:val="00264C22"/>
    <w:rsid w:val="00264C65"/>
    <w:rsid w:val="00265504"/>
    <w:rsid w:val="002811F5"/>
    <w:rsid w:val="00285629"/>
    <w:rsid w:val="002858D9"/>
    <w:rsid w:val="00290E5F"/>
    <w:rsid w:val="00291212"/>
    <w:rsid w:val="00291EF1"/>
    <w:rsid w:val="00296324"/>
    <w:rsid w:val="002A0C86"/>
    <w:rsid w:val="002B222A"/>
    <w:rsid w:val="002B33F7"/>
    <w:rsid w:val="002B517D"/>
    <w:rsid w:val="002C164A"/>
    <w:rsid w:val="002C1EDB"/>
    <w:rsid w:val="002C5178"/>
    <w:rsid w:val="002C7468"/>
    <w:rsid w:val="002D0E7B"/>
    <w:rsid w:val="002D3ADD"/>
    <w:rsid w:val="002D3FA2"/>
    <w:rsid w:val="002D7E53"/>
    <w:rsid w:val="002E1876"/>
    <w:rsid w:val="002E18CA"/>
    <w:rsid w:val="002E1D88"/>
    <w:rsid w:val="002E4D06"/>
    <w:rsid w:val="002E74D5"/>
    <w:rsid w:val="00315ED0"/>
    <w:rsid w:val="003216F5"/>
    <w:rsid w:val="00323183"/>
    <w:rsid w:val="003238BA"/>
    <w:rsid w:val="00331020"/>
    <w:rsid w:val="00331BA0"/>
    <w:rsid w:val="00332CD3"/>
    <w:rsid w:val="0034195E"/>
    <w:rsid w:val="00341FA4"/>
    <w:rsid w:val="0034343E"/>
    <w:rsid w:val="003515F7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908CE"/>
    <w:rsid w:val="00393521"/>
    <w:rsid w:val="0039426C"/>
    <w:rsid w:val="00395750"/>
    <w:rsid w:val="003959A0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4974"/>
    <w:rsid w:val="003E4D5C"/>
    <w:rsid w:val="003F4837"/>
    <w:rsid w:val="003F53DE"/>
    <w:rsid w:val="004009DF"/>
    <w:rsid w:val="00402563"/>
    <w:rsid w:val="004049C9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2D4"/>
    <w:rsid w:val="004329A7"/>
    <w:rsid w:val="00440FC5"/>
    <w:rsid w:val="004443AA"/>
    <w:rsid w:val="0044796F"/>
    <w:rsid w:val="00447B1D"/>
    <w:rsid w:val="00454378"/>
    <w:rsid w:val="00454C77"/>
    <w:rsid w:val="00455B3C"/>
    <w:rsid w:val="00460742"/>
    <w:rsid w:val="0046150A"/>
    <w:rsid w:val="00475F27"/>
    <w:rsid w:val="004808B4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7129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622C"/>
    <w:rsid w:val="004F1627"/>
    <w:rsid w:val="004F546B"/>
    <w:rsid w:val="005002C4"/>
    <w:rsid w:val="005017A1"/>
    <w:rsid w:val="00501944"/>
    <w:rsid w:val="00503F27"/>
    <w:rsid w:val="00504359"/>
    <w:rsid w:val="0050525A"/>
    <w:rsid w:val="00511446"/>
    <w:rsid w:val="00513579"/>
    <w:rsid w:val="00514215"/>
    <w:rsid w:val="00515074"/>
    <w:rsid w:val="005156BF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7B9F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4919"/>
    <w:rsid w:val="005A54EF"/>
    <w:rsid w:val="005A72F4"/>
    <w:rsid w:val="005B010F"/>
    <w:rsid w:val="005B09F9"/>
    <w:rsid w:val="005B10B6"/>
    <w:rsid w:val="005B2B42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723C"/>
    <w:rsid w:val="00605222"/>
    <w:rsid w:val="00610387"/>
    <w:rsid w:val="0061149F"/>
    <w:rsid w:val="00623C2F"/>
    <w:rsid w:val="0062453E"/>
    <w:rsid w:val="0062467F"/>
    <w:rsid w:val="00626A83"/>
    <w:rsid w:val="00631702"/>
    <w:rsid w:val="006365BE"/>
    <w:rsid w:val="0063713D"/>
    <w:rsid w:val="00641F6B"/>
    <w:rsid w:val="00644C4A"/>
    <w:rsid w:val="00645BAF"/>
    <w:rsid w:val="006465E9"/>
    <w:rsid w:val="006501D1"/>
    <w:rsid w:val="00655C9E"/>
    <w:rsid w:val="00663E30"/>
    <w:rsid w:val="00667E58"/>
    <w:rsid w:val="0067037D"/>
    <w:rsid w:val="00673B03"/>
    <w:rsid w:val="00674285"/>
    <w:rsid w:val="0068501B"/>
    <w:rsid w:val="00686EC8"/>
    <w:rsid w:val="006873F6"/>
    <w:rsid w:val="00690822"/>
    <w:rsid w:val="00694546"/>
    <w:rsid w:val="00694DB0"/>
    <w:rsid w:val="00697805"/>
    <w:rsid w:val="006A1157"/>
    <w:rsid w:val="006A2194"/>
    <w:rsid w:val="006A2C2D"/>
    <w:rsid w:val="006A5D6C"/>
    <w:rsid w:val="006B35A0"/>
    <w:rsid w:val="006B5E76"/>
    <w:rsid w:val="006B67EE"/>
    <w:rsid w:val="006C3A03"/>
    <w:rsid w:val="006C54FB"/>
    <w:rsid w:val="006C6198"/>
    <w:rsid w:val="006C66D3"/>
    <w:rsid w:val="006D4C50"/>
    <w:rsid w:val="006D649A"/>
    <w:rsid w:val="006E1D32"/>
    <w:rsid w:val="006E2425"/>
    <w:rsid w:val="006F04D8"/>
    <w:rsid w:val="006F4D4A"/>
    <w:rsid w:val="00702565"/>
    <w:rsid w:val="0070403B"/>
    <w:rsid w:val="00711845"/>
    <w:rsid w:val="00717992"/>
    <w:rsid w:val="00721A8E"/>
    <w:rsid w:val="0072226E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582D"/>
    <w:rsid w:val="00766371"/>
    <w:rsid w:val="00766F1A"/>
    <w:rsid w:val="007677D8"/>
    <w:rsid w:val="00771E95"/>
    <w:rsid w:val="007765CA"/>
    <w:rsid w:val="0078007B"/>
    <w:rsid w:val="00781567"/>
    <w:rsid w:val="00783841"/>
    <w:rsid w:val="00783B41"/>
    <w:rsid w:val="0078445F"/>
    <w:rsid w:val="00785686"/>
    <w:rsid w:val="00792354"/>
    <w:rsid w:val="00792B8E"/>
    <w:rsid w:val="007934AC"/>
    <w:rsid w:val="00797121"/>
    <w:rsid w:val="007B00B7"/>
    <w:rsid w:val="007B15A8"/>
    <w:rsid w:val="007B1601"/>
    <w:rsid w:val="007B79E5"/>
    <w:rsid w:val="007C7651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E90"/>
    <w:rsid w:val="00803A59"/>
    <w:rsid w:val="00803CFC"/>
    <w:rsid w:val="00805E97"/>
    <w:rsid w:val="00806C91"/>
    <w:rsid w:val="008110B0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934"/>
    <w:rsid w:val="008443EB"/>
    <w:rsid w:val="00844F4C"/>
    <w:rsid w:val="00860CDC"/>
    <w:rsid w:val="00862DE5"/>
    <w:rsid w:val="008641E8"/>
    <w:rsid w:val="008661BC"/>
    <w:rsid w:val="008666FB"/>
    <w:rsid w:val="00871C6F"/>
    <w:rsid w:val="008906FE"/>
    <w:rsid w:val="00891DC0"/>
    <w:rsid w:val="00892518"/>
    <w:rsid w:val="00893D44"/>
    <w:rsid w:val="00895F30"/>
    <w:rsid w:val="008A2010"/>
    <w:rsid w:val="008A4F64"/>
    <w:rsid w:val="008A551D"/>
    <w:rsid w:val="008B01B1"/>
    <w:rsid w:val="008B25CC"/>
    <w:rsid w:val="008B63B6"/>
    <w:rsid w:val="008B6C47"/>
    <w:rsid w:val="008C0D3D"/>
    <w:rsid w:val="008C5C1F"/>
    <w:rsid w:val="008C7460"/>
    <w:rsid w:val="008D38E7"/>
    <w:rsid w:val="008D3D5B"/>
    <w:rsid w:val="008D51C4"/>
    <w:rsid w:val="008D608D"/>
    <w:rsid w:val="008D6A23"/>
    <w:rsid w:val="008D7236"/>
    <w:rsid w:val="008D7C87"/>
    <w:rsid w:val="008E1F5C"/>
    <w:rsid w:val="008E5EDC"/>
    <w:rsid w:val="008F0AFB"/>
    <w:rsid w:val="008F0EC8"/>
    <w:rsid w:val="008F2A7A"/>
    <w:rsid w:val="008F38FF"/>
    <w:rsid w:val="008F5A03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D6D"/>
    <w:rsid w:val="00925D36"/>
    <w:rsid w:val="00933798"/>
    <w:rsid w:val="00933C8B"/>
    <w:rsid w:val="0093464C"/>
    <w:rsid w:val="00937B8D"/>
    <w:rsid w:val="009435AC"/>
    <w:rsid w:val="00946867"/>
    <w:rsid w:val="00947501"/>
    <w:rsid w:val="00947879"/>
    <w:rsid w:val="00955535"/>
    <w:rsid w:val="00964752"/>
    <w:rsid w:val="00970340"/>
    <w:rsid w:val="00971AF7"/>
    <w:rsid w:val="00975211"/>
    <w:rsid w:val="00976143"/>
    <w:rsid w:val="00976BC9"/>
    <w:rsid w:val="00980655"/>
    <w:rsid w:val="00984114"/>
    <w:rsid w:val="00984C19"/>
    <w:rsid w:val="009869FF"/>
    <w:rsid w:val="00990068"/>
    <w:rsid w:val="0099280E"/>
    <w:rsid w:val="009964AA"/>
    <w:rsid w:val="009A707C"/>
    <w:rsid w:val="009B2BE9"/>
    <w:rsid w:val="009B683D"/>
    <w:rsid w:val="009B7F07"/>
    <w:rsid w:val="009C58F2"/>
    <w:rsid w:val="009C7224"/>
    <w:rsid w:val="009D1096"/>
    <w:rsid w:val="009D3193"/>
    <w:rsid w:val="009D567C"/>
    <w:rsid w:val="009D6B1D"/>
    <w:rsid w:val="009E2295"/>
    <w:rsid w:val="009E2F02"/>
    <w:rsid w:val="009E6B1D"/>
    <w:rsid w:val="009F11E3"/>
    <w:rsid w:val="009F2697"/>
    <w:rsid w:val="009F451E"/>
    <w:rsid w:val="009F48BC"/>
    <w:rsid w:val="009F4E59"/>
    <w:rsid w:val="00A060F5"/>
    <w:rsid w:val="00A0632A"/>
    <w:rsid w:val="00A11864"/>
    <w:rsid w:val="00A13807"/>
    <w:rsid w:val="00A143D3"/>
    <w:rsid w:val="00A21F60"/>
    <w:rsid w:val="00A259E4"/>
    <w:rsid w:val="00A272E3"/>
    <w:rsid w:val="00A27412"/>
    <w:rsid w:val="00A303D5"/>
    <w:rsid w:val="00A3066F"/>
    <w:rsid w:val="00A31CFA"/>
    <w:rsid w:val="00A33BAA"/>
    <w:rsid w:val="00A36395"/>
    <w:rsid w:val="00A40D3D"/>
    <w:rsid w:val="00A4321D"/>
    <w:rsid w:val="00A43439"/>
    <w:rsid w:val="00A43F75"/>
    <w:rsid w:val="00A557D0"/>
    <w:rsid w:val="00A56865"/>
    <w:rsid w:val="00A571ED"/>
    <w:rsid w:val="00A60906"/>
    <w:rsid w:val="00A63930"/>
    <w:rsid w:val="00A641BE"/>
    <w:rsid w:val="00A667D6"/>
    <w:rsid w:val="00A7482F"/>
    <w:rsid w:val="00A76BBB"/>
    <w:rsid w:val="00A823FA"/>
    <w:rsid w:val="00A86727"/>
    <w:rsid w:val="00A8758D"/>
    <w:rsid w:val="00A9095A"/>
    <w:rsid w:val="00AA7A2C"/>
    <w:rsid w:val="00AB1B4A"/>
    <w:rsid w:val="00AB4B5C"/>
    <w:rsid w:val="00AB59E6"/>
    <w:rsid w:val="00AB7A60"/>
    <w:rsid w:val="00AB7D36"/>
    <w:rsid w:val="00AC01EA"/>
    <w:rsid w:val="00AC0C3E"/>
    <w:rsid w:val="00AC4ECE"/>
    <w:rsid w:val="00AD0417"/>
    <w:rsid w:val="00AD1111"/>
    <w:rsid w:val="00AD6C15"/>
    <w:rsid w:val="00AD6C83"/>
    <w:rsid w:val="00AE264C"/>
    <w:rsid w:val="00AE2997"/>
    <w:rsid w:val="00AE3FF2"/>
    <w:rsid w:val="00AE78A2"/>
    <w:rsid w:val="00AE7F08"/>
    <w:rsid w:val="00AF4188"/>
    <w:rsid w:val="00AF4AB2"/>
    <w:rsid w:val="00AF5AAF"/>
    <w:rsid w:val="00AF5F7C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10DE"/>
    <w:rsid w:val="00B215FE"/>
    <w:rsid w:val="00B2525F"/>
    <w:rsid w:val="00B32317"/>
    <w:rsid w:val="00B3281B"/>
    <w:rsid w:val="00B33208"/>
    <w:rsid w:val="00B33AE1"/>
    <w:rsid w:val="00B35E72"/>
    <w:rsid w:val="00B37233"/>
    <w:rsid w:val="00B37E9E"/>
    <w:rsid w:val="00B41025"/>
    <w:rsid w:val="00B43337"/>
    <w:rsid w:val="00B4380F"/>
    <w:rsid w:val="00B45C94"/>
    <w:rsid w:val="00B476C1"/>
    <w:rsid w:val="00B538D4"/>
    <w:rsid w:val="00B5483E"/>
    <w:rsid w:val="00B56934"/>
    <w:rsid w:val="00B60A5E"/>
    <w:rsid w:val="00B640E8"/>
    <w:rsid w:val="00B65A85"/>
    <w:rsid w:val="00B71297"/>
    <w:rsid w:val="00B7420F"/>
    <w:rsid w:val="00B759CE"/>
    <w:rsid w:val="00B771A5"/>
    <w:rsid w:val="00B81E8F"/>
    <w:rsid w:val="00B826CD"/>
    <w:rsid w:val="00B836A0"/>
    <w:rsid w:val="00B87366"/>
    <w:rsid w:val="00B93D64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44C5"/>
    <w:rsid w:val="00BD5108"/>
    <w:rsid w:val="00BE6E53"/>
    <w:rsid w:val="00BE7F3E"/>
    <w:rsid w:val="00BF1741"/>
    <w:rsid w:val="00BF3099"/>
    <w:rsid w:val="00BF3CA5"/>
    <w:rsid w:val="00BF485F"/>
    <w:rsid w:val="00BF51B2"/>
    <w:rsid w:val="00C018DC"/>
    <w:rsid w:val="00C01ADC"/>
    <w:rsid w:val="00C028EE"/>
    <w:rsid w:val="00C0474F"/>
    <w:rsid w:val="00C05E33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7562"/>
    <w:rsid w:val="00CB1E76"/>
    <w:rsid w:val="00CB4417"/>
    <w:rsid w:val="00CB46FD"/>
    <w:rsid w:val="00CC06FA"/>
    <w:rsid w:val="00CC2875"/>
    <w:rsid w:val="00CC2A22"/>
    <w:rsid w:val="00CC5465"/>
    <w:rsid w:val="00CD112B"/>
    <w:rsid w:val="00CD52E2"/>
    <w:rsid w:val="00CE1803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11183"/>
    <w:rsid w:val="00D13017"/>
    <w:rsid w:val="00D15850"/>
    <w:rsid w:val="00D20D2D"/>
    <w:rsid w:val="00D24388"/>
    <w:rsid w:val="00D25677"/>
    <w:rsid w:val="00D31CFE"/>
    <w:rsid w:val="00D327E9"/>
    <w:rsid w:val="00D329F4"/>
    <w:rsid w:val="00D32A0F"/>
    <w:rsid w:val="00D35F06"/>
    <w:rsid w:val="00D406AB"/>
    <w:rsid w:val="00D51CF4"/>
    <w:rsid w:val="00D539BB"/>
    <w:rsid w:val="00D54725"/>
    <w:rsid w:val="00D602E4"/>
    <w:rsid w:val="00D623C6"/>
    <w:rsid w:val="00D62AD2"/>
    <w:rsid w:val="00D62E25"/>
    <w:rsid w:val="00D64F86"/>
    <w:rsid w:val="00D70680"/>
    <w:rsid w:val="00D73616"/>
    <w:rsid w:val="00D83F3B"/>
    <w:rsid w:val="00D847AD"/>
    <w:rsid w:val="00D8518B"/>
    <w:rsid w:val="00D90E80"/>
    <w:rsid w:val="00D95679"/>
    <w:rsid w:val="00D95A08"/>
    <w:rsid w:val="00DA27D9"/>
    <w:rsid w:val="00DA2A77"/>
    <w:rsid w:val="00DA3918"/>
    <w:rsid w:val="00DA3F9E"/>
    <w:rsid w:val="00DA4511"/>
    <w:rsid w:val="00DA4BB6"/>
    <w:rsid w:val="00DA6451"/>
    <w:rsid w:val="00DA65AC"/>
    <w:rsid w:val="00DA76C8"/>
    <w:rsid w:val="00DB0EE7"/>
    <w:rsid w:val="00DB134A"/>
    <w:rsid w:val="00DB21C5"/>
    <w:rsid w:val="00DB4893"/>
    <w:rsid w:val="00DB622C"/>
    <w:rsid w:val="00DC0A49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3A2C"/>
    <w:rsid w:val="00DE41C5"/>
    <w:rsid w:val="00E02587"/>
    <w:rsid w:val="00E02F0F"/>
    <w:rsid w:val="00E0308D"/>
    <w:rsid w:val="00E06543"/>
    <w:rsid w:val="00E11A57"/>
    <w:rsid w:val="00E21571"/>
    <w:rsid w:val="00E21800"/>
    <w:rsid w:val="00E260B6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64FE"/>
    <w:rsid w:val="00E46C26"/>
    <w:rsid w:val="00E541C1"/>
    <w:rsid w:val="00E56C98"/>
    <w:rsid w:val="00E577F8"/>
    <w:rsid w:val="00E6116B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911"/>
    <w:rsid w:val="00EA5612"/>
    <w:rsid w:val="00EB43A6"/>
    <w:rsid w:val="00EC05A2"/>
    <w:rsid w:val="00EC1298"/>
    <w:rsid w:val="00EC2074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288B"/>
    <w:rsid w:val="00EF3707"/>
    <w:rsid w:val="00EF6C3E"/>
    <w:rsid w:val="00F0199A"/>
    <w:rsid w:val="00F0336B"/>
    <w:rsid w:val="00F0383A"/>
    <w:rsid w:val="00F04779"/>
    <w:rsid w:val="00F07C8D"/>
    <w:rsid w:val="00F12114"/>
    <w:rsid w:val="00F13F15"/>
    <w:rsid w:val="00F24852"/>
    <w:rsid w:val="00F25BAD"/>
    <w:rsid w:val="00F30B68"/>
    <w:rsid w:val="00F32E83"/>
    <w:rsid w:val="00F356BF"/>
    <w:rsid w:val="00F373A3"/>
    <w:rsid w:val="00F40F80"/>
    <w:rsid w:val="00F4293F"/>
    <w:rsid w:val="00F43A1A"/>
    <w:rsid w:val="00F43F94"/>
    <w:rsid w:val="00F45399"/>
    <w:rsid w:val="00F45D1B"/>
    <w:rsid w:val="00F46F34"/>
    <w:rsid w:val="00F52204"/>
    <w:rsid w:val="00F5340D"/>
    <w:rsid w:val="00F54AD1"/>
    <w:rsid w:val="00F56561"/>
    <w:rsid w:val="00F572B6"/>
    <w:rsid w:val="00F6134D"/>
    <w:rsid w:val="00F62EE4"/>
    <w:rsid w:val="00F67622"/>
    <w:rsid w:val="00F71008"/>
    <w:rsid w:val="00F74D76"/>
    <w:rsid w:val="00F76078"/>
    <w:rsid w:val="00F76A00"/>
    <w:rsid w:val="00F76D57"/>
    <w:rsid w:val="00F819E3"/>
    <w:rsid w:val="00F86C0E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D25B1"/>
    <w:rsid w:val="00FD40E9"/>
    <w:rsid w:val="00FD478A"/>
    <w:rsid w:val="00FE23D2"/>
    <w:rsid w:val="00FE3701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D40E-A0D6-46CC-8570-E5586878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10446</Words>
  <Characters>62681</Characters>
  <Application>Microsoft Office Word</Application>
  <DocSecurity>0</DocSecurity>
  <Lines>522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mcholewa</cp:lastModifiedBy>
  <cp:revision>4</cp:revision>
  <cp:lastPrinted>2012-03-14T12:21:00Z</cp:lastPrinted>
  <dcterms:created xsi:type="dcterms:W3CDTF">2012-03-14T12:05:00Z</dcterms:created>
  <dcterms:modified xsi:type="dcterms:W3CDTF">2012-03-23T08:38:00Z</dcterms:modified>
</cp:coreProperties>
</file>